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CA5A66" w14:textId="77777777" w:rsidR="00C30D69" w:rsidRPr="00C30D69" w:rsidRDefault="00C30D69" w:rsidP="0076503E">
      <w:pPr>
        <w:shd w:val="clear" w:color="auto" w:fill="FFFFFF"/>
        <w:suppressAutoHyphens/>
        <w:spacing w:after="0" w:line="240" w:lineRule="auto"/>
        <w:ind w:left="5387" w:right="-57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bookmarkStart w:id="0" w:name="_Hlk189646569"/>
      <w:bookmarkStart w:id="1" w:name="_Hlk184634073"/>
      <w:r w:rsidRPr="00C30D6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Додаток 1 </w:t>
      </w:r>
    </w:p>
    <w:p w14:paraId="7089AD4E" w14:textId="062D6FD1" w:rsidR="005732A8" w:rsidRPr="005732A8" w:rsidRDefault="00C30D69" w:rsidP="00BC6AF5">
      <w:pPr>
        <w:tabs>
          <w:tab w:val="left" w:pos="567"/>
          <w:tab w:val="left" w:pos="3402"/>
          <w:tab w:val="left" w:pos="4253"/>
        </w:tabs>
        <w:spacing w:after="0"/>
        <w:ind w:left="5387" w:right="-1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5732A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до </w:t>
      </w:r>
      <w:r w:rsidR="00BC6AF5">
        <w:rPr>
          <w:rFonts w:ascii="Times New Roman" w:hAnsi="Times New Roman" w:cs="Times New Roman"/>
          <w:spacing w:val="-4"/>
          <w:sz w:val="28"/>
          <w:szCs w:val="28"/>
          <w:lang w:val="uk-UA"/>
        </w:rPr>
        <w:t>Комплексної район</w:t>
      </w:r>
      <w:r w:rsidR="005732A8" w:rsidRPr="005732A8">
        <w:rPr>
          <w:rFonts w:ascii="Times New Roman" w:hAnsi="Times New Roman" w:cs="Times New Roman"/>
          <w:spacing w:val="-4"/>
          <w:sz w:val="28"/>
          <w:szCs w:val="28"/>
          <w:lang w:val="uk-UA"/>
        </w:rPr>
        <w:t>ної програми</w:t>
      </w:r>
      <w:r w:rsidR="0076503E" w:rsidRPr="00BC6AF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732A8" w:rsidRPr="005732A8">
        <w:rPr>
          <w:rFonts w:ascii="Times New Roman" w:hAnsi="Times New Roman" w:cs="Times New Roman"/>
          <w:spacing w:val="-4"/>
          <w:sz w:val="28"/>
          <w:szCs w:val="28"/>
          <w:lang w:val="uk-UA"/>
        </w:rPr>
        <w:t>захисту населення і територій від на</w:t>
      </w:r>
      <w:r w:rsidR="00BC6AF5">
        <w:rPr>
          <w:rFonts w:ascii="Times New Roman" w:hAnsi="Times New Roman" w:cs="Times New Roman"/>
          <w:spacing w:val="-4"/>
          <w:sz w:val="28"/>
          <w:szCs w:val="28"/>
          <w:lang w:val="uk-UA"/>
        </w:rPr>
        <w:t>дзвичайних ситуацій</w:t>
      </w:r>
      <w:r w:rsidR="0094047F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BC6AF5">
        <w:rPr>
          <w:rFonts w:ascii="Times New Roman" w:hAnsi="Times New Roman" w:cs="Times New Roman"/>
          <w:spacing w:val="-4"/>
          <w:sz w:val="28"/>
          <w:szCs w:val="28"/>
          <w:lang w:val="uk-UA"/>
        </w:rPr>
        <w:t>у Володимирському районі</w:t>
      </w:r>
      <w:r w:rsidR="005732A8" w:rsidRPr="005732A8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на 2026</w:t>
      </w:r>
      <w:r w:rsidR="005732A8" w:rsidRPr="00C40C01">
        <w:rPr>
          <w:spacing w:val="-4"/>
          <w:sz w:val="28"/>
          <w:szCs w:val="28"/>
          <w:lang w:val="uk-UA"/>
        </w:rPr>
        <w:t>–</w:t>
      </w:r>
      <w:r w:rsidR="005732A8" w:rsidRPr="005732A8">
        <w:rPr>
          <w:rFonts w:ascii="Times New Roman" w:hAnsi="Times New Roman" w:cs="Times New Roman"/>
          <w:spacing w:val="-4"/>
          <w:sz w:val="28"/>
          <w:szCs w:val="28"/>
          <w:lang w:val="uk-UA"/>
        </w:rPr>
        <w:t>2030 роки</w:t>
      </w:r>
    </w:p>
    <w:bookmarkEnd w:id="0"/>
    <w:p w14:paraId="11B163FC" w14:textId="77777777" w:rsidR="00C30D69" w:rsidRDefault="00C30D69" w:rsidP="00C30D6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5AB545A9" w14:textId="77777777" w:rsidR="00FF3618" w:rsidRPr="0076503E" w:rsidRDefault="00FF3618" w:rsidP="00C30D6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5D5562B5" w14:textId="77777777" w:rsidR="00C30D69" w:rsidRPr="00FF3618" w:rsidRDefault="00C30D69" w:rsidP="00C30D6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FF361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ПАСПОРТ </w:t>
      </w:r>
    </w:p>
    <w:p w14:paraId="03476BAA" w14:textId="7B9C33FE" w:rsidR="005732A8" w:rsidRPr="005732A8" w:rsidRDefault="00BC6AF5" w:rsidP="005732A8">
      <w:pPr>
        <w:tabs>
          <w:tab w:val="left" w:pos="567"/>
        </w:tabs>
        <w:spacing w:after="0"/>
        <w:ind w:firstLine="567"/>
        <w:jc w:val="center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>Комплексної район</w:t>
      </w:r>
      <w:r w:rsidR="005732A8" w:rsidRPr="005732A8">
        <w:rPr>
          <w:rFonts w:ascii="Times New Roman" w:hAnsi="Times New Roman" w:cs="Times New Roman"/>
          <w:spacing w:val="-4"/>
          <w:sz w:val="28"/>
          <w:szCs w:val="28"/>
          <w:lang w:val="uk-UA"/>
        </w:rPr>
        <w:t>ної програми</w:t>
      </w:r>
    </w:p>
    <w:p w14:paraId="65FA0317" w14:textId="77777777" w:rsidR="005732A8" w:rsidRPr="005732A8" w:rsidRDefault="005732A8" w:rsidP="005732A8">
      <w:pPr>
        <w:spacing w:after="0"/>
        <w:jc w:val="center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5732A8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захисту населення і територій від надзвичайних ситуацій </w:t>
      </w:r>
    </w:p>
    <w:p w14:paraId="6BBBC319" w14:textId="7A51B7ED" w:rsidR="00C30D69" w:rsidRPr="00BC6AF5" w:rsidRDefault="005732A8" w:rsidP="00582CCA">
      <w:pPr>
        <w:spacing w:after="0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5732A8">
        <w:rPr>
          <w:rFonts w:ascii="Times New Roman" w:hAnsi="Times New Roman" w:cs="Times New Roman"/>
          <w:spacing w:val="-4"/>
          <w:sz w:val="28"/>
          <w:szCs w:val="28"/>
          <w:lang w:val="uk-UA"/>
        </w:rPr>
        <w:t>у </w:t>
      </w:r>
      <w:r w:rsidR="00BC6AF5">
        <w:rPr>
          <w:rFonts w:ascii="Times New Roman" w:hAnsi="Times New Roman" w:cs="Times New Roman"/>
          <w:spacing w:val="-4"/>
          <w:sz w:val="28"/>
          <w:szCs w:val="28"/>
          <w:lang w:val="uk-UA"/>
        </w:rPr>
        <w:t>Володимирському районі</w:t>
      </w:r>
      <w:r w:rsidRPr="005732A8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на 2026–2030 роки</w:t>
      </w:r>
    </w:p>
    <w:p w14:paraId="7E42A2C0" w14:textId="77777777" w:rsidR="0076503E" w:rsidRPr="00BC6AF5" w:rsidRDefault="0076503E" w:rsidP="00582CCA">
      <w:pPr>
        <w:spacing w:after="0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tbl>
      <w:tblPr>
        <w:tblW w:w="10066" w:type="dxa"/>
        <w:tblInd w:w="-177" w:type="dxa"/>
        <w:tblLayout w:type="fixed"/>
        <w:tblLook w:val="04A0" w:firstRow="1" w:lastRow="0" w:firstColumn="1" w:lastColumn="0" w:noHBand="0" w:noVBand="1"/>
      </w:tblPr>
      <w:tblGrid>
        <w:gridCol w:w="419"/>
        <w:gridCol w:w="8"/>
        <w:gridCol w:w="3147"/>
        <w:gridCol w:w="6492"/>
      </w:tblGrid>
      <w:tr w:rsidR="00C30D69" w:rsidRPr="00C30D69" w14:paraId="11A70E83" w14:textId="77777777" w:rsidTr="00FF3618"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3882E1" w14:textId="77777777" w:rsidR="00C30D69" w:rsidRPr="00C30D69" w:rsidRDefault="00C30D69" w:rsidP="00C30D69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30D6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1.</w:t>
            </w:r>
          </w:p>
        </w:tc>
        <w:tc>
          <w:tcPr>
            <w:tcW w:w="3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22460C" w14:textId="77777777" w:rsidR="00C30D69" w:rsidRDefault="00C30D69" w:rsidP="00C30D69">
            <w:pPr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30D6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Ініціатор розроблення Програми</w:t>
            </w:r>
          </w:p>
          <w:p w14:paraId="1C01C1B0" w14:textId="0D7A8A8F" w:rsidR="00B1063C" w:rsidRPr="00C30D69" w:rsidRDefault="00B1063C" w:rsidP="00C30D69">
            <w:pPr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ar-SA"/>
              </w:rPr>
            </w:pP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704F83" w14:textId="61EE0EF5" w:rsidR="00C30D69" w:rsidRPr="005732A8" w:rsidRDefault="00BC6AF5" w:rsidP="00BC6A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ar-SA"/>
              </w:rPr>
              <w:t xml:space="preserve">Володимирська районна </w:t>
            </w:r>
            <w:r w:rsidR="00C30D69" w:rsidRPr="005732A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ar-SA"/>
              </w:rPr>
              <w:t xml:space="preserve">державна (військова) </w:t>
            </w:r>
            <w:r w:rsidR="00C30D69" w:rsidRPr="005732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адміністрація</w:t>
            </w:r>
          </w:p>
        </w:tc>
      </w:tr>
      <w:tr w:rsidR="00C30D69" w:rsidRPr="00C30D69" w14:paraId="1A991550" w14:textId="77777777" w:rsidTr="00FF3618"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E47ABA" w14:textId="77777777" w:rsidR="00C30D69" w:rsidRPr="00C30D69" w:rsidRDefault="00C30D69" w:rsidP="00C30D69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30D6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2.</w:t>
            </w:r>
          </w:p>
        </w:tc>
        <w:tc>
          <w:tcPr>
            <w:tcW w:w="3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84501D1" w14:textId="54DBD592" w:rsidR="00C30D69" w:rsidRPr="00C30D69" w:rsidRDefault="00C30D69" w:rsidP="00C30D69">
            <w:pPr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ar-SA"/>
              </w:rPr>
            </w:pPr>
            <w:r w:rsidRPr="00C30D6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Розробник</w:t>
            </w:r>
            <w:r w:rsidR="005732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и</w:t>
            </w:r>
            <w:r w:rsidRPr="00C30D6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Програми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427082" w14:textId="03566EDF" w:rsidR="00BC6AF5" w:rsidRPr="00BC6AF5" w:rsidRDefault="00BC6AF5" w:rsidP="00BC6AF5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C6AF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ar-SA"/>
              </w:rPr>
              <w:t xml:space="preserve">Сектор </w:t>
            </w:r>
            <w:r w:rsidRPr="00BC6A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питань оборонної роботи, ц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ивільного захисту та взаємодії </w:t>
            </w:r>
            <w:r w:rsidRPr="00BC6A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правоохоронними органами </w:t>
            </w:r>
          </w:p>
          <w:p w14:paraId="3A639D5F" w14:textId="4AE31C25" w:rsidR="00B1063C" w:rsidRPr="00DC7E13" w:rsidRDefault="00BC6AF5" w:rsidP="00BC6AF5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ar-SA"/>
              </w:rPr>
            </w:pPr>
            <w:r w:rsidRPr="00BC6A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райдержадміністрації</w:t>
            </w:r>
          </w:p>
        </w:tc>
      </w:tr>
      <w:tr w:rsidR="00C30D69" w:rsidRPr="00C30D69" w14:paraId="0306419B" w14:textId="77777777" w:rsidTr="00FF3618">
        <w:trPr>
          <w:trHeight w:val="812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362B2" w14:textId="77777777" w:rsidR="00C30D69" w:rsidRPr="00C30D69" w:rsidRDefault="00C30D69" w:rsidP="00C30D69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30D6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3.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E2F31" w14:textId="77777777" w:rsidR="00C30D69" w:rsidRPr="00C30D69" w:rsidRDefault="00C30D69" w:rsidP="00C30D69">
            <w:pPr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uk-UA" w:eastAsia="ar-SA"/>
              </w:rPr>
            </w:pPr>
            <w:r w:rsidRPr="00C30D6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Відповідальний виконавець Програми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4FDD" w14:textId="77777777" w:rsidR="00BC6AF5" w:rsidRPr="00BC6AF5" w:rsidRDefault="00BC6AF5" w:rsidP="00BC6AF5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C6AF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ar-SA"/>
              </w:rPr>
              <w:t xml:space="preserve">Сектор </w:t>
            </w:r>
            <w:r w:rsidRPr="00BC6A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питань оборонної роботи, ц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ивільного захисту та взаємодії </w:t>
            </w:r>
            <w:r w:rsidRPr="00BC6A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правоохоронними органами </w:t>
            </w:r>
          </w:p>
          <w:p w14:paraId="50E52D43" w14:textId="16FB8EAA" w:rsidR="00BC6AF5" w:rsidRPr="00BC6AF5" w:rsidRDefault="00BC6AF5" w:rsidP="00F01E2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ar-SA"/>
              </w:rPr>
            </w:pPr>
            <w:r w:rsidRPr="00BC6A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райдержадміністрації</w:t>
            </w:r>
          </w:p>
        </w:tc>
      </w:tr>
      <w:tr w:rsidR="00C30D69" w:rsidRPr="004C50CA" w14:paraId="324DDE52" w14:textId="77777777" w:rsidTr="00FF3618">
        <w:tblPrEx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75"/>
        </w:trPr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F77C1" w14:textId="77777777" w:rsidR="00C30D69" w:rsidRPr="00C30D69" w:rsidRDefault="00C30D69" w:rsidP="00C30D69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30D6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4.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1F38B" w14:textId="77777777" w:rsidR="00C30D69" w:rsidRPr="00C30D69" w:rsidRDefault="00C30D69" w:rsidP="00C30D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uk-UA" w:eastAsia="ar-SA"/>
              </w:rPr>
            </w:pPr>
            <w:r w:rsidRPr="00C30D6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Виконавці Програми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595F166E" w14:textId="77777777" w:rsidR="00BC6AF5" w:rsidRPr="00BC6AF5" w:rsidRDefault="00BC6AF5" w:rsidP="004304AD">
            <w:pPr>
              <w:spacing w:after="0" w:line="0" w:lineRule="atLeast"/>
              <w:ind w:right="5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C6AF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ar-SA"/>
              </w:rPr>
              <w:t xml:space="preserve">Сектор </w:t>
            </w:r>
            <w:r w:rsidRPr="00BC6A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питань оборонної роботи, ц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ивільного захисту та взаємодії </w:t>
            </w:r>
            <w:r w:rsidRPr="00BC6A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правоохоронними органами </w:t>
            </w:r>
          </w:p>
          <w:p w14:paraId="1C98F078" w14:textId="34847578" w:rsidR="0034022B" w:rsidRPr="00582CCA" w:rsidRDefault="00BC6AF5" w:rsidP="004304AD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</w:pPr>
            <w:r w:rsidRPr="00BC6A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райдержадміністрації</w:t>
            </w:r>
            <w:r w:rsidR="00FC31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районне управління</w:t>
            </w:r>
            <w:r w:rsidR="00FC31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01E2D" w:rsidRPr="00FC31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</w:t>
            </w:r>
            <w:r w:rsidR="00F01E2D" w:rsidRPr="00FC31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Державної служби України з надзвичайних </w:t>
            </w:r>
            <w:r w:rsidR="00F01E2D" w:rsidRPr="004304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ситуацій у Волинській області</w:t>
            </w:r>
            <w:r w:rsidR="000C33EC" w:rsidRPr="004304A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ar-SA"/>
              </w:rPr>
              <w:t xml:space="preserve">, </w:t>
            </w:r>
            <w:r w:rsidR="00252E36" w:rsidRPr="004304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1 Державний </w:t>
            </w:r>
            <w:proofErr w:type="spellStart"/>
            <w:r w:rsidR="00252E36" w:rsidRPr="004304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пожежно</w:t>
            </w:r>
            <w:proofErr w:type="spellEnd"/>
            <w:r w:rsidR="00252E36" w:rsidRPr="004304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-рятувальний загін </w:t>
            </w:r>
            <w:r w:rsidR="00252E36" w:rsidRPr="004304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Головного управління Державної служби України з надзвичайних ситуацій у Волинській області (м.</w:t>
            </w:r>
            <w:r w:rsidR="00FF3618" w:rsidRPr="004304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 w:rsidR="00252E36" w:rsidRPr="004304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Луцьк)</w:t>
            </w:r>
            <w:r w:rsidR="00252E36" w:rsidRPr="004304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, </w:t>
            </w:r>
            <w:r w:rsidR="004304AD" w:rsidRPr="004304AD">
              <w:rPr>
                <w:rStyle w:val="a7"/>
                <w:rFonts w:ascii="Times New Roman" w:eastAsia="Times New Roman" w:hAnsi="Times New Roman" w:cs="Times New Roman"/>
                <w:b w:val="0"/>
                <w:sz w:val="28"/>
                <w:szCs w:val="28"/>
                <w:lang w:val="uk-UA" w:eastAsia="ar-SA"/>
              </w:rPr>
              <w:t xml:space="preserve">Володимирський </w:t>
            </w:r>
            <w:r w:rsidR="00720C6E" w:rsidRPr="004304AD">
              <w:rPr>
                <w:rStyle w:val="a7"/>
                <w:rFonts w:ascii="Times New Roman" w:eastAsia="Times New Roman" w:hAnsi="Times New Roman" w:cs="Times New Roman"/>
                <w:b w:val="0"/>
                <w:sz w:val="28"/>
                <w:szCs w:val="28"/>
                <w:lang w:val="uk-UA" w:eastAsia="ar-SA"/>
              </w:rPr>
              <w:t>центр з гідрометеорології</w:t>
            </w:r>
            <w:r w:rsidR="008468DC" w:rsidRPr="004304AD">
              <w:rPr>
                <w:rStyle w:val="a7"/>
                <w:rFonts w:ascii="Times New Roman" w:eastAsia="Times New Roman" w:hAnsi="Times New Roman" w:cs="Times New Roman"/>
                <w:b w:val="0"/>
                <w:sz w:val="28"/>
                <w:szCs w:val="28"/>
                <w:lang w:val="uk-UA" w:eastAsia="ar-SA"/>
              </w:rPr>
              <w:t>, в</w:t>
            </w:r>
            <w:r w:rsidR="008468DC" w:rsidRPr="004304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иконавчі комітети міських, селищних та сільських рад</w:t>
            </w:r>
          </w:p>
        </w:tc>
      </w:tr>
      <w:tr w:rsidR="00C30D69" w:rsidRPr="00252E36" w14:paraId="5FA22092" w14:textId="77777777" w:rsidTr="00FF3618">
        <w:tblPrEx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trHeight w:val="75"/>
        </w:trPr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C880" w14:textId="77777777" w:rsidR="00C30D69" w:rsidRPr="00C30D69" w:rsidRDefault="00C30D69" w:rsidP="00C30D69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30D6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5.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6D919" w14:textId="542AACD7" w:rsidR="00B1063C" w:rsidRPr="00C30D69" w:rsidRDefault="00C30D69" w:rsidP="00C30D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30D6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Термін реалізації Програми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AD38500" w14:textId="7F741A8F" w:rsidR="00C30D69" w:rsidRPr="005732A8" w:rsidRDefault="00F01E2D" w:rsidP="00F01E2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pacing w:val="-2"/>
                <w:sz w:val="28"/>
                <w:szCs w:val="28"/>
                <w:lang w:val="uk-UA" w:eastAsia="ar-SA"/>
              </w:rPr>
            </w:pPr>
            <w:r w:rsidRPr="00F01E2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ar-SA"/>
              </w:rPr>
              <w:t>2026–2030</w:t>
            </w:r>
            <w:r w:rsidR="00C30D69" w:rsidRPr="00F01E2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ar-SA"/>
              </w:rPr>
              <w:t xml:space="preserve"> роки</w:t>
            </w:r>
          </w:p>
        </w:tc>
      </w:tr>
      <w:tr w:rsidR="00C30D69" w:rsidRPr="004C50CA" w14:paraId="554287AC" w14:textId="77777777" w:rsidTr="00FF3618">
        <w:tblPrEx>
          <w:tblCellMar>
            <w:top w:w="57" w:type="dxa"/>
            <w:left w:w="85" w:type="dxa"/>
            <w:bottom w:w="57" w:type="dxa"/>
            <w:right w:w="85" w:type="dxa"/>
          </w:tblCellMar>
        </w:tblPrEx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87D7E" w14:textId="77777777" w:rsidR="00C30D69" w:rsidRPr="00C30D69" w:rsidRDefault="00C30D69" w:rsidP="00C30D69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30D6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6.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33FA9" w14:textId="77777777" w:rsidR="00C30D69" w:rsidRPr="00C30D69" w:rsidRDefault="00C30D69" w:rsidP="00C30D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30D6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Мета Програми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E1E06" w14:textId="120C8A97" w:rsidR="005F524A" w:rsidRPr="00582CCA" w:rsidRDefault="00FF3618" w:rsidP="001D25C5">
            <w:pPr>
              <w:tabs>
                <w:tab w:val="left" w:pos="0"/>
              </w:tabs>
              <w:suppressAutoHyphens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в</w:t>
            </w:r>
            <w:r w:rsidR="00F01E2D" w:rsidRPr="00F01E2D">
              <w:rPr>
                <w:rFonts w:ascii="Times New Roman" w:hAnsi="Times New Roman" w:cs="Times New Roman"/>
                <w:sz w:val="28"/>
                <w:lang w:val="uk-UA"/>
              </w:rPr>
              <w:t>ирішення комплексу завдань для попередження виникнення надзвичайних ситуацій (подій) техногенного та природного характеру (зниження рівня негативн</w:t>
            </w:r>
            <w:r w:rsidR="0094047F">
              <w:rPr>
                <w:rFonts w:ascii="Times New Roman" w:hAnsi="Times New Roman" w:cs="Times New Roman"/>
                <w:sz w:val="28"/>
                <w:lang w:val="uk-UA"/>
              </w:rPr>
              <w:t>ого впливу) на території району</w:t>
            </w:r>
            <w:r w:rsidR="00F01E2D" w:rsidRPr="00F01E2D">
              <w:rPr>
                <w:rFonts w:ascii="Times New Roman" w:hAnsi="Times New Roman" w:cs="Times New Roman"/>
                <w:sz w:val="28"/>
                <w:lang w:val="uk-UA"/>
              </w:rPr>
              <w:t>, забезпечення відповідного рівня  готовності управління, сил та засобів до реагування щодо захисту населення і територій та надання допомоги населенню з ліквідації наслідків надзвичайних ситуацій (подій) в інтересах безпеки окремої людини,  суспільства  та  довкілля</w:t>
            </w:r>
            <w:r w:rsidR="00F01E2D">
              <w:rPr>
                <w:rFonts w:ascii="Times New Roman" w:hAnsi="Times New Roman" w:cs="Times New Roman"/>
                <w:sz w:val="28"/>
                <w:lang w:val="uk-UA"/>
              </w:rPr>
              <w:t>.</w:t>
            </w:r>
          </w:p>
        </w:tc>
      </w:tr>
      <w:tr w:rsidR="00C30D69" w:rsidRPr="00C30D69" w14:paraId="28822133" w14:textId="77777777" w:rsidTr="00FF3618">
        <w:tblPrEx>
          <w:tblCellMar>
            <w:top w:w="57" w:type="dxa"/>
            <w:left w:w="85" w:type="dxa"/>
            <w:bottom w:w="57" w:type="dxa"/>
            <w:right w:w="85" w:type="dxa"/>
          </w:tblCellMar>
        </w:tblPrEx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BB3DD" w14:textId="77777777" w:rsidR="00C30D69" w:rsidRPr="00C30D69" w:rsidRDefault="00C30D69" w:rsidP="00C30D69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30D6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lastRenderedPageBreak/>
              <w:t>7.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01214" w14:textId="01CDBBC8" w:rsidR="00C30D69" w:rsidRPr="00C30D69" w:rsidRDefault="00C30D69" w:rsidP="00C30D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30D6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Загальний обсяг фінансових ресурсів, необхідних для реалізації Програми, </w:t>
            </w:r>
            <w:r w:rsidR="00FF361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у</w:t>
            </w:r>
            <w:r w:rsidRPr="00C30D6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сього, </w:t>
            </w:r>
          </w:p>
          <w:p w14:paraId="6C927F93" w14:textId="1D92C4D4" w:rsidR="00C30D69" w:rsidRPr="00C30D69" w:rsidRDefault="001D25C5" w:rsidP="00C30D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зокрема</w:t>
            </w:r>
            <w:r w:rsidR="00C30D69" w:rsidRPr="00C30D6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: </w:t>
            </w:r>
          </w:p>
          <w:p w14:paraId="509C5A78" w14:textId="65216994" w:rsidR="00C30D69" w:rsidRDefault="004304AD" w:rsidP="00C30D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раон</w:t>
            </w:r>
            <w:r w:rsidR="008468D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ний бюджет,</w:t>
            </w:r>
          </w:p>
          <w:p w14:paraId="1ABC0106" w14:textId="3B018285" w:rsidR="00C30D69" w:rsidRPr="00C30D69" w:rsidRDefault="008468DC" w:rsidP="00C30D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місцеві бюджети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FFADA" w14:textId="77777777" w:rsidR="00C30D69" w:rsidRPr="00C30D69" w:rsidRDefault="00C30D69" w:rsidP="00C30D69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uk-UA" w:eastAsia="ar-SA"/>
              </w:rPr>
            </w:pPr>
          </w:p>
          <w:p w14:paraId="7DC75575" w14:textId="31DC38AA" w:rsidR="00C30D69" w:rsidRDefault="00C30D69" w:rsidP="00C30D69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uk-UA" w:eastAsia="ar-SA"/>
              </w:rPr>
            </w:pPr>
          </w:p>
          <w:p w14:paraId="6876A201" w14:textId="2A31EECF" w:rsidR="008468DC" w:rsidRDefault="008468DC" w:rsidP="00C30D69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uk-UA" w:eastAsia="ar-SA"/>
              </w:rPr>
            </w:pPr>
          </w:p>
          <w:p w14:paraId="58A34AFF" w14:textId="77777777" w:rsidR="008468DC" w:rsidRPr="0094047F" w:rsidRDefault="008468DC" w:rsidP="00C30D69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shd w:val="clear" w:color="auto" w:fill="FFFFFF"/>
                <w:lang w:val="uk-UA" w:eastAsia="ar-SA"/>
              </w:rPr>
            </w:pPr>
          </w:p>
          <w:p w14:paraId="5389D84F" w14:textId="25A3D4D6" w:rsidR="00C30D69" w:rsidRPr="00E77E46" w:rsidRDefault="00E77E46" w:rsidP="00C30D69">
            <w:pPr>
              <w:tabs>
                <w:tab w:val="left" w:pos="0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uk-UA" w:eastAsia="ar-SA"/>
              </w:rPr>
            </w:pPr>
            <w:r w:rsidRPr="00E77E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ar-SA"/>
              </w:rPr>
              <w:t>94</w:t>
            </w:r>
            <w:r w:rsidRPr="00E77E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ar-SA"/>
              </w:rPr>
              <w:t> </w:t>
            </w:r>
            <w:r w:rsidRPr="00E77E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ar-SA"/>
              </w:rPr>
              <w:t>429</w:t>
            </w:r>
            <w:r w:rsidRPr="00E77E4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uk-UA" w:eastAsia="ar-SA"/>
              </w:rPr>
              <w:t xml:space="preserve"> </w:t>
            </w:r>
            <w:r w:rsidR="00C30D69" w:rsidRPr="00E77E4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uk-UA" w:eastAsia="ar-SA"/>
              </w:rPr>
              <w:t>тис. грн</w:t>
            </w:r>
          </w:p>
          <w:p w14:paraId="1C068D8D" w14:textId="77777777" w:rsidR="000C33EC" w:rsidRPr="00E77E46" w:rsidRDefault="000C33EC" w:rsidP="00C30D69">
            <w:pPr>
              <w:tabs>
                <w:tab w:val="left" w:pos="0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uk-UA" w:eastAsia="ar-SA"/>
              </w:rPr>
            </w:pPr>
          </w:p>
          <w:p w14:paraId="176155E7" w14:textId="0C2934CB" w:rsidR="004C50CA" w:rsidRPr="00E77E46" w:rsidRDefault="004C50CA" w:rsidP="00C30D69">
            <w:pPr>
              <w:tabs>
                <w:tab w:val="left" w:pos="0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uk-UA" w:eastAsia="ar-SA"/>
              </w:rPr>
            </w:pPr>
            <w:r w:rsidRPr="00E77E4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uk-UA" w:eastAsia="ar-SA"/>
              </w:rPr>
              <w:t>-</w:t>
            </w:r>
          </w:p>
          <w:p w14:paraId="534C1302" w14:textId="574103FC" w:rsidR="00C30D69" w:rsidRPr="00C30D69" w:rsidRDefault="00E77E46" w:rsidP="00C30D69">
            <w:pPr>
              <w:tabs>
                <w:tab w:val="left" w:pos="0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uk-UA" w:eastAsia="ar-SA"/>
              </w:rPr>
            </w:pPr>
            <w:r w:rsidRPr="00E77E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ar-SA"/>
              </w:rPr>
              <w:t>94</w:t>
            </w:r>
            <w:r w:rsidRPr="00E77E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ar-SA"/>
              </w:rPr>
              <w:t> </w:t>
            </w:r>
            <w:r w:rsidRPr="00E77E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ar-SA"/>
              </w:rPr>
              <w:t>429</w:t>
            </w:r>
            <w:r w:rsidRPr="00E77E4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uk-UA" w:eastAsia="ar-SA"/>
              </w:rPr>
              <w:t xml:space="preserve"> </w:t>
            </w:r>
            <w:r w:rsidR="000502E8" w:rsidRPr="00E77E4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uk-UA" w:eastAsia="ar-SA"/>
              </w:rPr>
              <w:t>тис. грн</w:t>
            </w:r>
          </w:p>
        </w:tc>
      </w:tr>
    </w:tbl>
    <w:p w14:paraId="0B222F73" w14:textId="77777777" w:rsidR="00B1063C" w:rsidRDefault="00B1063C" w:rsidP="00621E87">
      <w:pPr>
        <w:shd w:val="clear" w:color="auto" w:fill="FFFFFF"/>
        <w:suppressAutoHyphens/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794F262F" w14:textId="3B7824A2" w:rsidR="00F96A06" w:rsidRPr="00C30D69" w:rsidRDefault="00C30D69" w:rsidP="00621E87">
      <w:pPr>
        <w:shd w:val="clear" w:color="auto" w:fill="FFFFFF"/>
        <w:suppressAutoHyphens/>
        <w:spacing w:after="0" w:line="240" w:lineRule="auto"/>
        <w:ind w:right="-57"/>
        <w:jc w:val="center"/>
      </w:pPr>
      <w:r w:rsidRPr="00C30D6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________________________</w:t>
      </w:r>
      <w:bookmarkStart w:id="2" w:name="_GoBack"/>
      <w:bookmarkEnd w:id="2"/>
      <w:r w:rsidRPr="00C30D6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_</w:t>
      </w:r>
      <w:bookmarkEnd w:id="1"/>
    </w:p>
    <w:sectPr w:rsidR="00F96A06" w:rsidRPr="00C30D69" w:rsidSect="004304AD">
      <w:headerReference w:type="default" r:id="rId8"/>
      <w:pgSz w:w="11906" w:h="16838" w:code="9"/>
      <w:pgMar w:top="567" w:right="1134" w:bottom="1134" w:left="1701" w:header="720" w:footer="55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B97BA5" w14:textId="77777777" w:rsidR="007D1608" w:rsidRDefault="007D1608">
      <w:pPr>
        <w:spacing w:after="0" w:line="240" w:lineRule="auto"/>
      </w:pPr>
      <w:r>
        <w:separator/>
      </w:r>
    </w:p>
  </w:endnote>
  <w:endnote w:type="continuationSeparator" w:id="0">
    <w:p w14:paraId="44672094" w14:textId="77777777" w:rsidR="007D1608" w:rsidRDefault="007D1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D88F41" w14:textId="77777777" w:rsidR="007D1608" w:rsidRDefault="007D1608">
      <w:pPr>
        <w:spacing w:after="0" w:line="240" w:lineRule="auto"/>
      </w:pPr>
      <w:r>
        <w:separator/>
      </w:r>
    </w:p>
  </w:footnote>
  <w:footnote w:type="continuationSeparator" w:id="0">
    <w:p w14:paraId="0EE22419" w14:textId="77777777" w:rsidR="007D1608" w:rsidRDefault="007D1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F5397A" w14:textId="3DAE2427" w:rsidR="009D54C7" w:rsidRPr="00FF3618" w:rsidRDefault="001D25C5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FF3618">
      <w:rPr>
        <w:rFonts w:ascii="Times New Roman" w:hAnsi="Times New Roman" w:cs="Times New Roman"/>
        <w:sz w:val="28"/>
        <w:szCs w:val="28"/>
      </w:rPr>
      <w:fldChar w:fldCharType="begin"/>
    </w:r>
    <w:r w:rsidRPr="00FF3618">
      <w:rPr>
        <w:rFonts w:ascii="Times New Roman" w:hAnsi="Times New Roman" w:cs="Times New Roman"/>
        <w:sz w:val="28"/>
        <w:szCs w:val="28"/>
      </w:rPr>
      <w:instrText>PAGE   \* MERGEFORMAT</w:instrText>
    </w:r>
    <w:r w:rsidRPr="00FF3618">
      <w:rPr>
        <w:rFonts w:ascii="Times New Roman" w:hAnsi="Times New Roman" w:cs="Times New Roman"/>
        <w:sz w:val="28"/>
        <w:szCs w:val="28"/>
      </w:rPr>
      <w:fldChar w:fldCharType="separate"/>
    </w:r>
    <w:r w:rsidR="00E77E46">
      <w:rPr>
        <w:rFonts w:ascii="Times New Roman" w:hAnsi="Times New Roman" w:cs="Times New Roman"/>
        <w:noProof/>
        <w:sz w:val="28"/>
        <w:szCs w:val="28"/>
      </w:rPr>
      <w:t>2</w:t>
    </w:r>
    <w:r w:rsidRPr="00FF3618">
      <w:rPr>
        <w:rFonts w:ascii="Times New Roman" w:hAnsi="Times New Roman" w:cs="Times New Roman"/>
        <w:sz w:val="28"/>
        <w:szCs w:val="28"/>
      </w:rPr>
      <w:fldChar w:fldCharType="end"/>
    </w:r>
  </w:p>
  <w:p w14:paraId="37AAA7A8" w14:textId="77777777" w:rsidR="009D54C7" w:rsidRDefault="009D54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CA8"/>
    <w:rsid w:val="000502E8"/>
    <w:rsid w:val="00082305"/>
    <w:rsid w:val="000C33EC"/>
    <w:rsid w:val="000D5E3B"/>
    <w:rsid w:val="001A3CDF"/>
    <w:rsid w:val="001D25C5"/>
    <w:rsid w:val="001F120D"/>
    <w:rsid w:val="00247527"/>
    <w:rsid w:val="00252E36"/>
    <w:rsid w:val="002C6628"/>
    <w:rsid w:val="0034022B"/>
    <w:rsid w:val="003529B3"/>
    <w:rsid w:val="0035667C"/>
    <w:rsid w:val="003A1E1D"/>
    <w:rsid w:val="004304AD"/>
    <w:rsid w:val="004365FF"/>
    <w:rsid w:val="004B25E8"/>
    <w:rsid w:val="004C50CA"/>
    <w:rsid w:val="005619EE"/>
    <w:rsid w:val="005732A8"/>
    <w:rsid w:val="00582CCA"/>
    <w:rsid w:val="005D1884"/>
    <w:rsid w:val="005F524A"/>
    <w:rsid w:val="0060645F"/>
    <w:rsid w:val="00613A6B"/>
    <w:rsid w:val="00621E87"/>
    <w:rsid w:val="00720C6E"/>
    <w:rsid w:val="0076503E"/>
    <w:rsid w:val="00766291"/>
    <w:rsid w:val="007D1608"/>
    <w:rsid w:val="00816BE1"/>
    <w:rsid w:val="0084451A"/>
    <w:rsid w:val="008468DC"/>
    <w:rsid w:val="00850A61"/>
    <w:rsid w:val="008539D8"/>
    <w:rsid w:val="00853EE4"/>
    <w:rsid w:val="00862872"/>
    <w:rsid w:val="0094047F"/>
    <w:rsid w:val="009D54C7"/>
    <w:rsid w:val="00A10435"/>
    <w:rsid w:val="00B1063C"/>
    <w:rsid w:val="00B847C3"/>
    <w:rsid w:val="00BA4AFD"/>
    <w:rsid w:val="00BC6AF5"/>
    <w:rsid w:val="00C30D69"/>
    <w:rsid w:val="00C3557A"/>
    <w:rsid w:val="00C547C8"/>
    <w:rsid w:val="00C660DB"/>
    <w:rsid w:val="00CB50B2"/>
    <w:rsid w:val="00D60A81"/>
    <w:rsid w:val="00DC7E13"/>
    <w:rsid w:val="00E14651"/>
    <w:rsid w:val="00E77E46"/>
    <w:rsid w:val="00E94DEB"/>
    <w:rsid w:val="00EA0CA8"/>
    <w:rsid w:val="00EC7D48"/>
    <w:rsid w:val="00F01E2D"/>
    <w:rsid w:val="00F96A06"/>
    <w:rsid w:val="00FC3179"/>
    <w:rsid w:val="00FF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E59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0D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0D69"/>
  </w:style>
  <w:style w:type="paragraph" w:styleId="a5">
    <w:name w:val="footer"/>
    <w:basedOn w:val="a"/>
    <w:link w:val="a6"/>
    <w:uiPriority w:val="99"/>
    <w:unhideWhenUsed/>
    <w:rsid w:val="00C30D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0D69"/>
  </w:style>
  <w:style w:type="character" w:styleId="a7">
    <w:name w:val="Strong"/>
    <w:qFormat/>
    <w:rsid w:val="00720C6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0D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0D69"/>
  </w:style>
  <w:style w:type="paragraph" w:styleId="a5">
    <w:name w:val="footer"/>
    <w:basedOn w:val="a"/>
    <w:link w:val="a6"/>
    <w:uiPriority w:val="99"/>
    <w:unhideWhenUsed/>
    <w:rsid w:val="00C30D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0D69"/>
  </w:style>
  <w:style w:type="character" w:styleId="a7">
    <w:name w:val="Strong"/>
    <w:qFormat/>
    <w:rsid w:val="00720C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8CAFD-5B9B-48D6-A37F-C716C6E4B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2025-12-09T07:43:00Z</cp:lastPrinted>
  <dcterms:created xsi:type="dcterms:W3CDTF">2025-11-19T13:17:00Z</dcterms:created>
  <dcterms:modified xsi:type="dcterms:W3CDTF">2025-12-09T07:44:00Z</dcterms:modified>
</cp:coreProperties>
</file>